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333333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附件1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333333"/>
          <w:sz w:val="32"/>
          <w:szCs w:val="32"/>
        </w:rPr>
        <w:t>交旅融合创新案例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撰写要求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．案例所在企业简况（包括企业所属行业、规模、所有制类型等），企业管理模式与营销模式的主要特点</w:t>
      </w:r>
      <w:r>
        <w:rPr>
          <w:rFonts w:hint="eastAsia" w:ascii="仿宋" w:hAnsi="仿宋" w:eastAsia="仿宋"/>
          <w:color w:val="333333"/>
          <w:sz w:val="32"/>
          <w:szCs w:val="32"/>
        </w:rPr>
        <w:t>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．案例的业务流程和运营实际效果。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3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．案例的市场环境以及如何满足对应的市场需求。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4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．案例分析与评估，主要有：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480" w:firstLineChars="15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（</w:t>
      </w:r>
      <w:r>
        <w:rPr>
          <w:rFonts w:ascii="仿宋" w:hAnsi="仿宋" w:eastAsia="仿宋" w:cs="Times New Roman"/>
          <w:color w:val="333333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）案例运营的效益指标；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480" w:firstLineChars="15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（</w:t>
      </w:r>
      <w:r>
        <w:rPr>
          <w:rFonts w:ascii="仿宋" w:hAnsi="仿宋" w:eastAsia="仿宋" w:cs="Times New Roman"/>
          <w:color w:val="333333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）案例对企业经营效益带来的作用；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480" w:firstLineChars="15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（</w:t>
      </w:r>
      <w:r>
        <w:rPr>
          <w:rFonts w:ascii="仿宋" w:hAnsi="仿宋" w:eastAsia="仿宋" w:cs="Times New Roman"/>
          <w:color w:val="333333"/>
          <w:sz w:val="32"/>
          <w:szCs w:val="32"/>
        </w:rPr>
        <w:t>3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）案例对企业带来的社会效应或其他成果。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5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．案例运营的主要体会、经验与教训，有何推广意义。</w:t>
      </w:r>
    </w:p>
    <w:p>
      <w:pPr>
        <w:pStyle w:val="2"/>
        <w:shd w:val="clear" w:color="auto" w:fill="FFFFFF"/>
        <w:spacing w:before="240" w:beforeAutospacing="0" w:after="240" w:afterAutospacing="0" w:line="420" w:lineRule="atLeas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6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．体现案例运营的图片或者视频。</w:t>
      </w:r>
    </w:p>
    <w:p/>
    <w:p>
      <w:bookmarkStart w:id="0" w:name="_GoBack"/>
      <w:bookmarkEnd w:id="0"/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6C0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2023-03-09T02:38:14Z</dcterms:created>
  <dc:creator>20171</dc:creator>
  <cp:lastModifiedBy>GIT-大Ju</cp:lastModifiedBy>
  <dcterms:modified xsi:type="dcterms:W3CDTF">2023-03-09T02:38:24Z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92BABED5F9F5414389F66D888B0A18A1</vt:lpwstr>
  </property>
</Properties>
</file>